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65" w:rsidRDefault="00626D54">
      <w:pPr>
        <w:rPr>
          <w:sz w:val="32"/>
          <w:szCs w:val="32"/>
        </w:rPr>
      </w:pPr>
      <w:r w:rsidRPr="00626D54">
        <w:rPr>
          <w:sz w:val="32"/>
          <w:szCs w:val="32"/>
        </w:rPr>
        <w:t>Amended ARCI Restricted Therapeutic Use Requirements Chart</w:t>
      </w:r>
    </w:p>
    <w:p w:rsidR="00626D54" w:rsidRPr="00626D54" w:rsidRDefault="00626D54" w:rsidP="00626D54">
      <w:pPr>
        <w:jc w:val="center"/>
        <w:rPr>
          <w:sz w:val="32"/>
          <w:szCs w:val="32"/>
        </w:rPr>
      </w:pPr>
      <w:r>
        <w:rPr>
          <w:sz w:val="32"/>
          <w:szCs w:val="32"/>
        </w:rPr>
        <w:t>(Thoroughbred Only)</w:t>
      </w:r>
    </w:p>
    <w:p w:rsidR="00626D54" w:rsidRDefault="00626D54"/>
    <w:p w:rsidR="000F3B00" w:rsidRDefault="000F3B00"/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790"/>
        <w:gridCol w:w="2159"/>
        <w:gridCol w:w="2701"/>
        <w:gridCol w:w="2250"/>
      </w:tblGrid>
      <w:tr w:rsidR="00626D54" w:rsidTr="000F3B00">
        <w:tc>
          <w:tcPr>
            <w:tcW w:w="2790" w:type="dxa"/>
          </w:tcPr>
          <w:p w:rsidR="00626D54" w:rsidRPr="000F3B00" w:rsidRDefault="000F3B00" w:rsidP="000F3B00">
            <w:pPr>
              <w:jc w:val="center"/>
              <w:rPr>
                <w:b/>
              </w:rPr>
            </w:pPr>
            <w:r w:rsidRPr="000F3B00">
              <w:rPr>
                <w:b/>
              </w:rPr>
              <w:t>Controlled Therapeutic Medication</w:t>
            </w:r>
          </w:p>
          <w:p w:rsidR="00626D54" w:rsidRDefault="00626D54"/>
        </w:tc>
        <w:tc>
          <w:tcPr>
            <w:tcW w:w="2159" w:type="dxa"/>
          </w:tcPr>
          <w:p w:rsidR="00626D54" w:rsidRPr="000F3B00" w:rsidRDefault="000F3B00" w:rsidP="000F3B00">
            <w:pPr>
              <w:jc w:val="center"/>
              <w:rPr>
                <w:b/>
              </w:rPr>
            </w:pPr>
            <w:r w:rsidRPr="000F3B00">
              <w:rPr>
                <w:b/>
              </w:rPr>
              <w:t>Threshold</w:t>
            </w:r>
          </w:p>
        </w:tc>
        <w:tc>
          <w:tcPr>
            <w:tcW w:w="2701" w:type="dxa"/>
          </w:tcPr>
          <w:p w:rsidR="00626D54" w:rsidRPr="000F3B00" w:rsidRDefault="00094FB8" w:rsidP="000F3B00">
            <w:pPr>
              <w:jc w:val="center"/>
              <w:rPr>
                <w:b/>
              </w:rPr>
            </w:pPr>
            <w:r>
              <w:rPr>
                <w:b/>
              </w:rPr>
              <w:t>Route of Administr</w:t>
            </w:r>
            <w:r w:rsidR="000F3B00" w:rsidRPr="000F3B00">
              <w:rPr>
                <w:b/>
              </w:rPr>
              <w:t>ation</w:t>
            </w:r>
          </w:p>
        </w:tc>
        <w:tc>
          <w:tcPr>
            <w:tcW w:w="2250" w:type="dxa"/>
          </w:tcPr>
          <w:p w:rsidR="00626D54" w:rsidRPr="00094FB8" w:rsidRDefault="00094FB8" w:rsidP="00094FB8">
            <w:pPr>
              <w:jc w:val="center"/>
              <w:rPr>
                <w:b/>
              </w:rPr>
            </w:pPr>
            <w:r w:rsidRPr="00094FB8">
              <w:rPr>
                <w:b/>
              </w:rPr>
              <w:t>Dosage</w:t>
            </w:r>
          </w:p>
        </w:tc>
      </w:tr>
      <w:tr w:rsidR="000F3B00" w:rsidTr="000F3B00">
        <w:trPr>
          <w:trHeight w:val="1727"/>
        </w:trPr>
        <w:tc>
          <w:tcPr>
            <w:tcW w:w="2790" w:type="dxa"/>
          </w:tcPr>
          <w:p w:rsidR="000F3B00" w:rsidRDefault="000F3B00" w:rsidP="00626D54"/>
          <w:p w:rsidR="000F3B00" w:rsidRPr="000F3B00" w:rsidRDefault="000F3B00" w:rsidP="000F3B00">
            <w:pPr>
              <w:rPr>
                <w:b/>
              </w:rPr>
            </w:pPr>
            <w:r w:rsidRPr="000F3B00">
              <w:rPr>
                <w:b/>
              </w:rPr>
              <w:t xml:space="preserve">Clenbuterol </w:t>
            </w:r>
          </w:p>
          <w:p w:rsidR="000F3B00" w:rsidRDefault="000F3B00" w:rsidP="00626D54">
            <w:r>
              <w:t>(Prohibited in Thoroughbred unless conditions are met)</w:t>
            </w:r>
          </w:p>
          <w:p w:rsidR="000F3B00" w:rsidRDefault="000F3B00" w:rsidP="00626D54"/>
        </w:tc>
        <w:tc>
          <w:tcPr>
            <w:tcW w:w="2159" w:type="dxa"/>
          </w:tcPr>
          <w:p w:rsidR="000F3B00" w:rsidRDefault="000F3B00"/>
          <w:p w:rsidR="00094FB8" w:rsidRDefault="00430317">
            <w:r>
              <w:t>Level of Detection (LOD)</w:t>
            </w:r>
            <w:r w:rsidR="00094FB8">
              <w:t xml:space="preserve"> </w:t>
            </w:r>
            <w:r w:rsidR="00613A5C">
              <w:t xml:space="preserve">in </w:t>
            </w:r>
            <w:r w:rsidR="00094FB8">
              <w:t xml:space="preserve">urine or </w:t>
            </w:r>
            <w:r w:rsidR="00613A5C">
              <w:t>i</w:t>
            </w:r>
            <w:r w:rsidR="00094FB8">
              <w:t>n plasma</w:t>
            </w:r>
            <w:r w:rsidR="00613A5C">
              <w:t xml:space="preserve"> or serum</w:t>
            </w:r>
          </w:p>
        </w:tc>
        <w:tc>
          <w:tcPr>
            <w:tcW w:w="2701" w:type="dxa"/>
          </w:tcPr>
          <w:p w:rsidR="00094FB8" w:rsidRDefault="00094FB8"/>
          <w:p w:rsidR="000F3B00" w:rsidRDefault="000F3B00">
            <w:r>
              <w:t>Oral</w:t>
            </w:r>
            <w:r w:rsidR="00094FB8">
              <w:t>ly</w:t>
            </w:r>
          </w:p>
        </w:tc>
        <w:tc>
          <w:tcPr>
            <w:tcW w:w="2250" w:type="dxa"/>
          </w:tcPr>
          <w:p w:rsidR="000F3B00" w:rsidRDefault="000F3B00"/>
          <w:p w:rsidR="00094FB8" w:rsidRDefault="00094FB8">
            <w:r>
              <w:t>0.8 mcg/kg</w:t>
            </w:r>
            <w:r w:rsidR="00613A5C">
              <w:t xml:space="preserve"> twice a day</w:t>
            </w:r>
          </w:p>
        </w:tc>
      </w:tr>
    </w:tbl>
    <w:p w:rsidR="00626D54" w:rsidRDefault="00626D54"/>
    <w:p w:rsidR="00626D54" w:rsidRDefault="00626D54"/>
    <w:p w:rsidR="00626D54" w:rsidRPr="00626D54" w:rsidRDefault="00626D54" w:rsidP="00613A5C">
      <w:r w:rsidRPr="00626D54">
        <w:t>Clenbuterol use is prohibited in racing and training unless the following conditions are</w:t>
      </w:r>
      <w:r w:rsidR="00613A5C">
        <w:t xml:space="preserve"> m</w:t>
      </w:r>
      <w:r w:rsidRPr="00626D54">
        <w:t>et</w:t>
      </w:r>
      <w:r>
        <w:t xml:space="preserve"> in accordance with </w:t>
      </w:r>
      <w:r w:rsidR="000F3B00">
        <w:t xml:space="preserve">existing </w:t>
      </w:r>
      <w:r>
        <w:t>Commission regulations</w:t>
      </w:r>
      <w:r w:rsidRPr="00626D54">
        <w:t>:</w:t>
      </w:r>
    </w:p>
    <w:p w:rsidR="00626D54" w:rsidRDefault="00626D54" w:rsidP="00613A5C"/>
    <w:p w:rsidR="00626D54" w:rsidRDefault="00626D54" w:rsidP="00613A5C">
      <w:pPr>
        <w:ind w:firstLine="720"/>
      </w:pPr>
      <w:r w:rsidRPr="00626D54">
        <w:t>a. The prescription for clenbuterol is made for a specific horse based upon a</w:t>
      </w:r>
      <w:r w:rsidR="00613A5C">
        <w:t xml:space="preserve"> </w:t>
      </w:r>
      <w:r w:rsidRPr="00626D54">
        <w:t>specific diagnosis. The prescription and volume dispensed cannot exceed a</w:t>
      </w:r>
      <w:r w:rsidR="00613A5C">
        <w:t xml:space="preserve"> </w:t>
      </w:r>
      <w:r w:rsidRPr="00626D54">
        <w:t>treatment period of 30 days.</w:t>
      </w:r>
    </w:p>
    <w:p w:rsidR="00613A5C" w:rsidRPr="00626D54" w:rsidRDefault="00613A5C" w:rsidP="00613A5C">
      <w:pPr>
        <w:ind w:firstLine="720"/>
      </w:pPr>
    </w:p>
    <w:p w:rsidR="00626D54" w:rsidRPr="00626D54" w:rsidRDefault="00626D54" w:rsidP="00613A5C">
      <w:pPr>
        <w:ind w:firstLine="720"/>
      </w:pPr>
      <w:r w:rsidRPr="00626D54">
        <w:t>b. The horse’s name, the specific diagnosis, dosage, and duration of clenbuterol</w:t>
      </w:r>
    </w:p>
    <w:p w:rsidR="00626D54" w:rsidRDefault="00626D54" w:rsidP="00613A5C">
      <w:r w:rsidRPr="00626D54">
        <w:t xml:space="preserve">treatment must be reported by the prescribing veterinarian to the </w:t>
      </w:r>
      <w:r w:rsidR="000F3B00">
        <w:t>Commission</w:t>
      </w:r>
      <w:r w:rsidR="00613A5C">
        <w:t xml:space="preserve"> </w:t>
      </w:r>
      <w:r w:rsidRPr="00626D54">
        <w:t>Veterinarian.</w:t>
      </w:r>
    </w:p>
    <w:p w:rsidR="00613A5C" w:rsidRPr="00626D54" w:rsidRDefault="00613A5C" w:rsidP="00613A5C"/>
    <w:p w:rsidR="00626D54" w:rsidRPr="00626D54" w:rsidRDefault="00626D54" w:rsidP="00613A5C">
      <w:pPr>
        <w:ind w:firstLine="720"/>
      </w:pPr>
      <w:r w:rsidRPr="00626D54">
        <w:t>c. This notification shall be made on a form and by a deadline designated by the</w:t>
      </w:r>
    </w:p>
    <w:p w:rsidR="00626D54" w:rsidRDefault="00626D54" w:rsidP="00613A5C">
      <w:r w:rsidRPr="00626D54">
        <w:t>Commission.</w:t>
      </w:r>
      <w:r w:rsidR="000F3B00">
        <w:t xml:space="preserve"> </w:t>
      </w:r>
    </w:p>
    <w:p w:rsidR="00613A5C" w:rsidRPr="00626D54" w:rsidRDefault="00613A5C" w:rsidP="00613A5C"/>
    <w:p w:rsidR="00626D54" w:rsidRDefault="00626D54" w:rsidP="00613A5C">
      <w:pPr>
        <w:ind w:firstLine="720"/>
      </w:pPr>
      <w:r w:rsidRPr="00626D54">
        <w:t>d. The veterinarian may be required to provide a copy of the prescription</w:t>
      </w:r>
      <w:r w:rsidR="00613A5C">
        <w:t xml:space="preserve"> </w:t>
      </w:r>
      <w:r w:rsidRPr="00626D54">
        <w:t xml:space="preserve">and diagnosis to the </w:t>
      </w:r>
      <w:r w:rsidR="000F3B00">
        <w:t>Commission Veterinarian</w:t>
      </w:r>
      <w:r w:rsidRPr="00626D54">
        <w:t xml:space="preserve"> for review and approval. In such</w:t>
      </w:r>
      <w:r w:rsidR="00613A5C">
        <w:t xml:space="preserve"> </w:t>
      </w:r>
      <w:r w:rsidRPr="00626D54">
        <w:t xml:space="preserve">instances the horse </w:t>
      </w:r>
      <w:r w:rsidR="000F3B00">
        <w:t xml:space="preserve">shall </w:t>
      </w:r>
      <w:r w:rsidRPr="00626D54">
        <w:t xml:space="preserve">not </w:t>
      </w:r>
      <w:r w:rsidR="00613A5C">
        <w:t>r</w:t>
      </w:r>
      <w:r w:rsidRPr="00626D54">
        <w:t>eceive clenbuterol before this approval is</w:t>
      </w:r>
      <w:r w:rsidR="00613A5C">
        <w:t xml:space="preserve"> </w:t>
      </w:r>
      <w:r w:rsidRPr="00626D54">
        <w:t>issued.</w:t>
      </w:r>
    </w:p>
    <w:p w:rsidR="00613A5C" w:rsidRPr="00626D54" w:rsidRDefault="00613A5C" w:rsidP="00613A5C">
      <w:pPr>
        <w:ind w:firstLine="720"/>
      </w:pPr>
    </w:p>
    <w:p w:rsidR="00626D54" w:rsidRPr="00626D54" w:rsidRDefault="00626D54" w:rsidP="00613A5C">
      <w:pPr>
        <w:ind w:firstLine="720"/>
      </w:pPr>
      <w:r w:rsidRPr="00626D54">
        <w:t xml:space="preserve">e. Trainers must make daily notification to the </w:t>
      </w:r>
      <w:r w:rsidR="000F3B00">
        <w:t>Commission V</w:t>
      </w:r>
      <w:r w:rsidRPr="00626D54">
        <w:t>eterinarian of horse(s) in</w:t>
      </w:r>
    </w:p>
    <w:p w:rsidR="00626D54" w:rsidRDefault="00626D54" w:rsidP="00613A5C">
      <w:r w:rsidRPr="00626D54">
        <w:t>their custody having been administered clenbuterol. Notification shall be</w:t>
      </w:r>
      <w:r w:rsidR="00613A5C">
        <w:t xml:space="preserve"> </w:t>
      </w:r>
      <w:r w:rsidRPr="00626D54">
        <w:t>made on a form and by a deadline designated by the Commission.</w:t>
      </w:r>
    </w:p>
    <w:p w:rsidR="00613A5C" w:rsidRPr="00626D54" w:rsidRDefault="00613A5C" w:rsidP="00613A5C"/>
    <w:p w:rsidR="00626D54" w:rsidRPr="00626D54" w:rsidRDefault="00626D54" w:rsidP="00613A5C">
      <w:pPr>
        <w:ind w:firstLine="720"/>
      </w:pPr>
      <w:r w:rsidRPr="00626D54">
        <w:t xml:space="preserve">f. A horse administered clenbuterol shall be placed on the </w:t>
      </w:r>
      <w:r w:rsidR="00613A5C">
        <w:t>Commission V</w:t>
      </w:r>
      <w:r w:rsidRPr="00626D54">
        <w:t>eterinarian’s</w:t>
      </w:r>
    </w:p>
    <w:p w:rsidR="00626D54" w:rsidRDefault="00613A5C" w:rsidP="00613A5C">
      <w:r>
        <w:t>L</w:t>
      </w:r>
      <w:r w:rsidR="00626D54" w:rsidRPr="00626D54">
        <w:t>ist. The horse must meet all conditions for removal from the list including a</w:t>
      </w:r>
      <w:r>
        <w:t xml:space="preserve"> </w:t>
      </w:r>
      <w:r w:rsidR="00626D54" w:rsidRPr="00626D54">
        <w:t>timed workout and blood and urine sampling. Both samples must have no</w:t>
      </w:r>
      <w:r>
        <w:t xml:space="preserve"> </w:t>
      </w:r>
      <w:r w:rsidR="00626D54" w:rsidRPr="00626D54">
        <w:t>detectable clenbuterol.</w:t>
      </w:r>
    </w:p>
    <w:p w:rsidR="00613A5C" w:rsidRPr="00626D54" w:rsidRDefault="00613A5C" w:rsidP="00613A5C"/>
    <w:p w:rsidR="00626D54" w:rsidRPr="00626D54" w:rsidRDefault="00626D54" w:rsidP="00613A5C">
      <w:pPr>
        <w:ind w:firstLine="720"/>
      </w:pPr>
      <w:r w:rsidRPr="00626D54">
        <w:t>g. A horse may not enter to race until it has completed all the requirements in</w:t>
      </w:r>
    </w:p>
    <w:p w:rsidR="00626D54" w:rsidRDefault="00626D54" w:rsidP="00613A5C">
      <w:r w:rsidRPr="00626D54">
        <w:t>sub</w:t>
      </w:r>
      <w:r w:rsidR="00613A5C">
        <w:t>section</w:t>
      </w:r>
      <w:r w:rsidRPr="00626D54">
        <w:t xml:space="preserve"> (f).</w:t>
      </w:r>
    </w:p>
    <w:p w:rsidR="00613A5C" w:rsidRPr="00626D54" w:rsidRDefault="00613A5C" w:rsidP="00613A5C"/>
    <w:p w:rsidR="00626D54" w:rsidRPr="00626D54" w:rsidRDefault="00626D54" w:rsidP="00613A5C">
      <w:pPr>
        <w:ind w:firstLine="720"/>
      </w:pPr>
      <w:r w:rsidRPr="00626D54">
        <w:t>h. If a clenbuterol is detected in a horse’s post-race or out of competition sample</w:t>
      </w:r>
    </w:p>
    <w:p w:rsidR="00626D54" w:rsidRPr="00626D54" w:rsidRDefault="00626D54" w:rsidP="00626D54">
      <w:r w:rsidRPr="00626D54">
        <w:t>and appropriate notification as outlined in sub</w:t>
      </w:r>
      <w:r w:rsidR="00613A5C">
        <w:t xml:space="preserve">section </w:t>
      </w:r>
      <w:r w:rsidRPr="00626D54">
        <w:t>(a) or (b) was not</w:t>
      </w:r>
      <w:r w:rsidR="00613A5C">
        <w:t xml:space="preserve"> </w:t>
      </w:r>
      <w:r w:rsidRPr="00626D54">
        <w:t xml:space="preserve">completed, the horse shall immediately be placed on the </w:t>
      </w:r>
      <w:r w:rsidR="00613A5C">
        <w:t xml:space="preserve">Commission </w:t>
      </w:r>
      <w:r w:rsidRPr="00626D54">
        <w:t>Veterinarian’s List pending the outcome of an investigation. The horse shall</w:t>
      </w:r>
      <w:r w:rsidR="00613A5C">
        <w:t xml:space="preserve"> </w:t>
      </w:r>
      <w:r w:rsidRPr="00626D54">
        <w:t xml:space="preserve">be required to meet all conditions for removal from the </w:t>
      </w:r>
      <w:r w:rsidR="00613A5C">
        <w:t>V</w:t>
      </w:r>
      <w:r w:rsidRPr="00626D54">
        <w:t>eterinarian’s list</w:t>
      </w:r>
      <w:r w:rsidR="00613A5C">
        <w:t xml:space="preserve"> </w:t>
      </w:r>
      <w:r w:rsidRPr="00626D54">
        <w:t>outlined in subdivision (f) above.</w:t>
      </w:r>
    </w:p>
    <w:p w:rsidR="00626D54" w:rsidRDefault="00626D54"/>
    <w:p w:rsidR="00626D54" w:rsidRDefault="00094FB8">
      <w:r>
        <w:t>ARCI Ver. 4.2.1 (Dec. 2020)</w:t>
      </w:r>
      <w:bookmarkStart w:id="0" w:name="_GoBack"/>
      <w:bookmarkEnd w:id="0"/>
    </w:p>
    <w:sectPr w:rsidR="00626D54" w:rsidSect="00613A5C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D54" w:rsidRDefault="00626D54" w:rsidP="00626D54">
      <w:r>
        <w:separator/>
      </w:r>
    </w:p>
  </w:endnote>
  <w:endnote w:type="continuationSeparator" w:id="0">
    <w:p w:rsidR="00626D54" w:rsidRDefault="00626D54" w:rsidP="0062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D54" w:rsidRDefault="00626D54" w:rsidP="00626D54">
      <w:r>
        <w:separator/>
      </w:r>
    </w:p>
  </w:footnote>
  <w:footnote w:type="continuationSeparator" w:id="0">
    <w:p w:rsidR="00626D54" w:rsidRDefault="00626D54" w:rsidP="0062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54"/>
    <w:rsid w:val="00094FB8"/>
    <w:rsid w:val="000F3B00"/>
    <w:rsid w:val="002F2365"/>
    <w:rsid w:val="00430317"/>
    <w:rsid w:val="00613A5C"/>
    <w:rsid w:val="0062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677A3"/>
  <w15:chartTrackingRefBased/>
  <w15:docId w15:val="{535B050D-B8AB-421B-A91C-DA12E2A4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D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next w:val="Normal"/>
    <w:link w:val="FootnoteTextChar"/>
    <w:uiPriority w:val="99"/>
    <w:rsid w:val="00626D54"/>
    <w:pPr>
      <w:spacing w:after="240"/>
      <w:ind w:left="720" w:hanging="720"/>
    </w:pPr>
    <w:rPr>
      <w:rFonts w:eastAsia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6D54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6D54"/>
    <w:rPr>
      <w:vertAlign w:val="superscript"/>
    </w:rPr>
  </w:style>
  <w:style w:type="table" w:styleId="TableGrid">
    <w:name w:val="Table Grid"/>
    <w:basedOn w:val="TableNormal"/>
    <w:uiPriority w:val="39"/>
    <w:rsid w:val="0062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Augusto, Jorge M.</dc:creator>
  <cp:keywords/>
  <dc:description/>
  <cp:lastModifiedBy>Augusto, Jorge M.</cp:lastModifiedBy>
  <cp:revision>1</cp:revision>
  <dcterms:created xsi:type="dcterms:W3CDTF">2021-05-19T14:14:00Z</dcterms:created>
  <dcterms:modified xsi:type="dcterms:W3CDTF">2021-05-19T15:15:00Z</dcterms:modified>
</cp:coreProperties>
</file>